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47008" w14:textId="77777777" w:rsidR="00652238" w:rsidRPr="00652238" w:rsidRDefault="00652238" w:rsidP="00652238">
      <w:pPr>
        <w:spacing w:after="150" w:line="336" w:lineRule="atLeast"/>
        <w:jc w:val="both"/>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 Принятие наследства осуществляется подачей по месту открытия наследства нотариусу заявления наследника о принятии наследства либо заявления наследника о выдаче свидетельства о праве на наследство. Местом открытия наследства является последнее место жительства наследодателя (регистрация наследодателя по месту жительства) на момент смерти. Заявление первого обратившегося наследника может быть подано любому нотариусу на территории Санкт-Петербурга, если наследодатель на момент смерти проживал в Санкт-Петербурге. При этом значения не имеет ни район города проживания наследодателя, ни наличие завещания наследодателя, удостоверенного конкретным нотариусом.</w:t>
      </w:r>
    </w:p>
    <w:p w14:paraId="090A99E8" w14:textId="77777777" w:rsidR="00652238" w:rsidRPr="00652238" w:rsidRDefault="00652238" w:rsidP="00652238">
      <w:pPr>
        <w:spacing w:after="150" w:line="336" w:lineRule="atLeast"/>
        <w:jc w:val="both"/>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 По общему правилу, согласно ст. 1154 Гражданского кодекса РФ, наследство может быть принято в течение шести месяцев со дня открытия наследства. Однако из этого правила есть ряд исключений. Вы можете проконсультировать у нотариуса более подробно о сроках принятия наследства, а также по другим вопросам, связанным с оформлением наследства.</w:t>
      </w:r>
    </w:p>
    <w:p w14:paraId="76BF1931" w14:textId="77777777" w:rsidR="00652238" w:rsidRPr="00652238" w:rsidRDefault="00652238" w:rsidP="00652238">
      <w:pPr>
        <w:spacing w:after="0" w:line="240" w:lineRule="auto"/>
        <w:jc w:val="both"/>
        <w:rPr>
          <w:rFonts w:ascii="Helvetica" w:eastAsia="Times New Roman" w:hAnsi="Helvetica" w:cs="Helvetica"/>
          <w:color w:val="000000"/>
          <w:kern w:val="0"/>
          <w:sz w:val="18"/>
          <w:szCs w:val="18"/>
          <w:lang w:eastAsia="ru-RU"/>
          <w14:ligatures w14:val="none"/>
        </w:rPr>
      </w:pPr>
    </w:p>
    <w:p w14:paraId="1C366AAF" w14:textId="77777777" w:rsidR="00652238" w:rsidRPr="00652238" w:rsidRDefault="00652238" w:rsidP="00652238">
      <w:pPr>
        <w:spacing w:after="150" w:line="336" w:lineRule="atLeast"/>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Документы, необходимые на этапе открытия наследственного дела:</w:t>
      </w:r>
    </w:p>
    <w:p w14:paraId="6EA7750B" w14:textId="77777777" w:rsidR="00652238" w:rsidRPr="00652238" w:rsidRDefault="00652238" w:rsidP="00652238">
      <w:pPr>
        <w:numPr>
          <w:ilvl w:val="0"/>
          <w:numId w:val="1"/>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Свидетельство о смерти наследодателя </w:t>
      </w:r>
      <w:r w:rsidRPr="00652238">
        <w:rPr>
          <w:rFonts w:ascii="Helvetica" w:eastAsia="Times New Roman" w:hAnsi="Helvetica" w:cs="Helvetica"/>
          <w:color w:val="000000"/>
          <w:kern w:val="0"/>
          <w:sz w:val="18"/>
          <w:szCs w:val="18"/>
          <w:lang w:eastAsia="ru-RU"/>
          <w14:ligatures w14:val="none"/>
        </w:rPr>
        <w:t>(могут потребоваться свидетельства о смерти иных лиц, например при наследовании по праву представления);</w:t>
      </w:r>
    </w:p>
    <w:p w14:paraId="29420D0D" w14:textId="77777777" w:rsidR="00652238" w:rsidRPr="00652238" w:rsidRDefault="00652238" w:rsidP="00652238">
      <w:pPr>
        <w:numPr>
          <w:ilvl w:val="0"/>
          <w:numId w:val="1"/>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Документы, подтверждающие родство</w:t>
      </w:r>
      <w:r w:rsidRPr="00652238">
        <w:rPr>
          <w:rFonts w:ascii="Helvetica" w:eastAsia="Times New Roman" w:hAnsi="Helvetica" w:cs="Helvetica"/>
          <w:color w:val="000000"/>
          <w:kern w:val="0"/>
          <w:sz w:val="18"/>
          <w:szCs w:val="18"/>
          <w:lang w:eastAsia="ru-RU"/>
          <w14:ligatures w14:val="none"/>
        </w:rPr>
        <w:t> (свидетельства о рождении, свидетельства или справки о заключении брака, свидетельства об установлении отцовства);</w:t>
      </w:r>
    </w:p>
    <w:p w14:paraId="65FB6E7B" w14:textId="77777777" w:rsidR="00652238" w:rsidRPr="00652238" w:rsidRDefault="00652238" w:rsidP="00652238">
      <w:pPr>
        <w:numPr>
          <w:ilvl w:val="0"/>
          <w:numId w:val="1"/>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Документ, подтверждающий регистрацию наследодателя по последнему месту жительства </w:t>
      </w:r>
      <w:r w:rsidRPr="00652238">
        <w:rPr>
          <w:rFonts w:ascii="Helvetica" w:eastAsia="Times New Roman" w:hAnsi="Helvetica" w:cs="Helvetica"/>
          <w:color w:val="000000"/>
          <w:kern w:val="0"/>
          <w:sz w:val="18"/>
          <w:szCs w:val="18"/>
          <w:lang w:eastAsia="ru-RU"/>
          <w14:ligatures w14:val="none"/>
        </w:rPr>
        <w:t>(справка формы 9);</w:t>
      </w:r>
    </w:p>
    <w:p w14:paraId="79CA5ED0" w14:textId="77777777" w:rsidR="00652238" w:rsidRPr="00652238" w:rsidRDefault="00652238" w:rsidP="00652238">
      <w:pPr>
        <w:numPr>
          <w:ilvl w:val="0"/>
          <w:numId w:val="1"/>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Завещание, </w:t>
      </w:r>
      <w:r w:rsidRPr="00652238">
        <w:rPr>
          <w:rFonts w:ascii="Helvetica" w:eastAsia="Times New Roman" w:hAnsi="Helvetica" w:cs="Helvetica"/>
          <w:color w:val="000000"/>
          <w:kern w:val="0"/>
          <w:sz w:val="18"/>
          <w:szCs w:val="18"/>
          <w:lang w:eastAsia="ru-RU"/>
          <w14:ligatures w14:val="none"/>
        </w:rPr>
        <w:t>если наследник призван к наследованию по завещанию;</w:t>
      </w:r>
    </w:p>
    <w:p w14:paraId="63A4549C" w14:textId="77777777" w:rsidR="00652238" w:rsidRPr="00652238" w:rsidRDefault="00652238" w:rsidP="00652238">
      <w:pPr>
        <w:numPr>
          <w:ilvl w:val="0"/>
          <w:numId w:val="1"/>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Брачный договор, </w:t>
      </w:r>
      <w:r w:rsidRPr="00652238">
        <w:rPr>
          <w:rFonts w:ascii="Helvetica" w:eastAsia="Times New Roman" w:hAnsi="Helvetica" w:cs="Helvetica"/>
          <w:color w:val="000000"/>
          <w:kern w:val="0"/>
          <w:sz w:val="18"/>
          <w:szCs w:val="18"/>
          <w:lang w:eastAsia="ru-RU"/>
          <w14:ligatures w14:val="none"/>
        </w:rPr>
        <w:t>если таковой был заключен наследодателем со своим супругом.</w:t>
      </w:r>
    </w:p>
    <w:p w14:paraId="324ED909" w14:textId="77777777" w:rsidR="00652238" w:rsidRPr="00652238" w:rsidRDefault="00652238" w:rsidP="00652238">
      <w:pPr>
        <w:spacing w:after="150" w:line="336" w:lineRule="atLeast"/>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i/>
          <w:iCs/>
          <w:color w:val="000000"/>
          <w:kern w:val="0"/>
          <w:sz w:val="18"/>
          <w:szCs w:val="18"/>
          <w:lang w:eastAsia="ru-RU"/>
          <w14:ligatures w14:val="none"/>
        </w:rPr>
        <w:t>В момент посещения нотариуса, ему необходимо сообщить информацию о наследуемом имуществе, чтобы нотариус имел возможность подготовить необходимые запросы в компетентные органы и организации.</w:t>
      </w:r>
    </w:p>
    <w:p w14:paraId="15E90B7C" w14:textId="77777777" w:rsidR="00652238" w:rsidRPr="00652238" w:rsidRDefault="00652238" w:rsidP="00652238">
      <w:pPr>
        <w:spacing w:after="150" w:line="336" w:lineRule="atLeast"/>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Документы, необходимые на этапе получения свидетельств о праве на наследство при оформлении прав на:</w:t>
      </w:r>
    </w:p>
    <w:p w14:paraId="286A4607" w14:textId="77777777" w:rsidR="00652238" w:rsidRPr="00652238" w:rsidRDefault="00652238" w:rsidP="00652238">
      <w:pPr>
        <w:numPr>
          <w:ilvl w:val="0"/>
          <w:numId w:val="2"/>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Недвижимость – </w:t>
      </w:r>
      <w:r w:rsidRPr="00652238">
        <w:rPr>
          <w:rFonts w:ascii="Helvetica" w:eastAsia="Times New Roman" w:hAnsi="Helvetica" w:cs="Helvetica"/>
          <w:color w:val="000000"/>
          <w:kern w:val="0"/>
          <w:sz w:val="18"/>
          <w:szCs w:val="18"/>
          <w:lang w:eastAsia="ru-RU"/>
          <w14:ligatures w14:val="none"/>
        </w:rPr>
        <w:t>Правоустанавливающие документы на объект</w:t>
      </w:r>
      <w:r w:rsidRPr="00652238">
        <w:rPr>
          <w:rFonts w:ascii="Helvetica" w:eastAsia="Times New Roman" w:hAnsi="Helvetica" w:cs="Helvetica"/>
          <w:b/>
          <w:bCs/>
          <w:color w:val="000000"/>
          <w:kern w:val="0"/>
          <w:sz w:val="18"/>
          <w:szCs w:val="18"/>
          <w:lang w:eastAsia="ru-RU"/>
          <w14:ligatures w14:val="none"/>
        </w:rPr>
        <w:t> </w:t>
      </w:r>
      <w:r w:rsidRPr="00652238">
        <w:rPr>
          <w:rFonts w:ascii="Helvetica" w:eastAsia="Times New Roman" w:hAnsi="Helvetica" w:cs="Helvetica"/>
          <w:color w:val="000000"/>
          <w:kern w:val="0"/>
          <w:sz w:val="18"/>
          <w:szCs w:val="18"/>
          <w:lang w:eastAsia="ru-RU"/>
          <w14:ligatures w14:val="none"/>
        </w:rPr>
        <w:t>(договоры, свидетельства о правах, справки ЖСК), Свидетельство о государственной регистрации права, СНИЛС (для регистрации права собственности);</w:t>
      </w:r>
    </w:p>
    <w:p w14:paraId="100D33F1" w14:textId="77777777" w:rsidR="00652238" w:rsidRPr="00652238" w:rsidRDefault="00652238" w:rsidP="00652238">
      <w:pPr>
        <w:numPr>
          <w:ilvl w:val="0"/>
          <w:numId w:val="2"/>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Транспортное средство – </w:t>
      </w:r>
      <w:r w:rsidRPr="00652238">
        <w:rPr>
          <w:rFonts w:ascii="Helvetica" w:eastAsia="Times New Roman" w:hAnsi="Helvetica" w:cs="Helvetica"/>
          <w:color w:val="000000"/>
          <w:kern w:val="0"/>
          <w:sz w:val="18"/>
          <w:szCs w:val="18"/>
          <w:lang w:eastAsia="ru-RU"/>
          <w14:ligatures w14:val="none"/>
        </w:rPr>
        <w:t>Свидетельство о регистрации ТС, Паспорт ТС, Отчет об оценке ТС</w:t>
      </w:r>
      <w:r w:rsidRPr="00652238">
        <w:rPr>
          <w:rFonts w:ascii="Helvetica" w:eastAsia="Times New Roman" w:hAnsi="Helvetica" w:cs="Helvetica"/>
          <w:b/>
          <w:bCs/>
          <w:color w:val="000000"/>
          <w:kern w:val="0"/>
          <w:sz w:val="18"/>
          <w:szCs w:val="18"/>
          <w:lang w:eastAsia="ru-RU"/>
          <w14:ligatures w14:val="none"/>
        </w:rPr>
        <w:t> </w:t>
      </w:r>
      <w:r w:rsidRPr="00652238">
        <w:rPr>
          <w:rFonts w:ascii="Helvetica" w:eastAsia="Times New Roman" w:hAnsi="Helvetica" w:cs="Helvetica"/>
          <w:color w:val="000000"/>
          <w:kern w:val="0"/>
          <w:sz w:val="18"/>
          <w:szCs w:val="18"/>
          <w:lang w:eastAsia="ru-RU"/>
          <w14:ligatures w14:val="none"/>
        </w:rPr>
        <w:t>(может быть подготовлен у любого оценщика, имеющего право осуществлять оценочную деятельность);</w:t>
      </w:r>
    </w:p>
    <w:p w14:paraId="658E5D45" w14:textId="77777777" w:rsidR="00652238" w:rsidRPr="00652238" w:rsidRDefault="00652238" w:rsidP="00652238">
      <w:pPr>
        <w:numPr>
          <w:ilvl w:val="0"/>
          <w:numId w:val="2"/>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Долю в уставном капитале ООО – </w:t>
      </w:r>
      <w:r w:rsidRPr="00652238">
        <w:rPr>
          <w:rFonts w:ascii="Helvetica" w:eastAsia="Times New Roman" w:hAnsi="Helvetica" w:cs="Helvetica"/>
          <w:color w:val="000000"/>
          <w:kern w:val="0"/>
          <w:sz w:val="18"/>
          <w:szCs w:val="18"/>
          <w:lang w:eastAsia="ru-RU"/>
          <w14:ligatures w14:val="none"/>
        </w:rPr>
        <w:t>Устав, ИНН/ОГРН свидетельства, Документ-основание владения долей в ООО</w:t>
      </w:r>
      <w:r w:rsidRPr="00652238">
        <w:rPr>
          <w:rFonts w:ascii="Helvetica" w:eastAsia="Times New Roman" w:hAnsi="Helvetica" w:cs="Helvetica"/>
          <w:b/>
          <w:bCs/>
          <w:color w:val="000000"/>
          <w:kern w:val="0"/>
          <w:sz w:val="18"/>
          <w:szCs w:val="18"/>
          <w:lang w:eastAsia="ru-RU"/>
          <w14:ligatures w14:val="none"/>
        </w:rPr>
        <w:t> </w:t>
      </w:r>
      <w:r w:rsidRPr="00652238">
        <w:rPr>
          <w:rFonts w:ascii="Helvetica" w:eastAsia="Times New Roman" w:hAnsi="Helvetica" w:cs="Helvetica"/>
          <w:color w:val="000000"/>
          <w:kern w:val="0"/>
          <w:sz w:val="18"/>
          <w:szCs w:val="18"/>
          <w:lang w:eastAsia="ru-RU"/>
          <w14:ligatures w14:val="none"/>
        </w:rPr>
        <w:t>(договор купли-продажи, решение о создании ООО, протоколы);</w:t>
      </w:r>
    </w:p>
    <w:p w14:paraId="219D0D2A" w14:textId="77777777" w:rsidR="00652238" w:rsidRPr="00652238" w:rsidRDefault="00652238" w:rsidP="00652238">
      <w:pPr>
        <w:numPr>
          <w:ilvl w:val="0"/>
          <w:numId w:val="2"/>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Оружие - </w:t>
      </w:r>
      <w:r w:rsidRPr="00652238">
        <w:rPr>
          <w:rFonts w:ascii="Helvetica" w:eastAsia="Times New Roman" w:hAnsi="Helvetica" w:cs="Helvetica"/>
          <w:color w:val="000000"/>
          <w:kern w:val="0"/>
          <w:sz w:val="18"/>
          <w:szCs w:val="18"/>
          <w:lang w:eastAsia="ru-RU"/>
          <w14:ligatures w14:val="none"/>
        </w:rPr>
        <w:t>Разрешение на оружие, Отчет об оценке оружия (может быть подготовлен у любого оценщика, имеющего право осуществлять оценочную деятельность)</w:t>
      </w:r>
      <w:r w:rsidRPr="00652238">
        <w:rPr>
          <w:rFonts w:ascii="Helvetica" w:eastAsia="Times New Roman" w:hAnsi="Helvetica" w:cs="Helvetica"/>
          <w:b/>
          <w:bCs/>
          <w:color w:val="000000"/>
          <w:kern w:val="0"/>
          <w:sz w:val="18"/>
          <w:szCs w:val="18"/>
          <w:lang w:eastAsia="ru-RU"/>
          <w14:ligatures w14:val="none"/>
        </w:rPr>
        <w:t>.</w:t>
      </w:r>
    </w:p>
    <w:p w14:paraId="210EC9B8" w14:textId="77777777" w:rsidR="00652238" w:rsidRPr="00652238" w:rsidRDefault="00652238" w:rsidP="00652238">
      <w:pPr>
        <w:numPr>
          <w:ilvl w:val="0"/>
          <w:numId w:val="2"/>
        </w:numPr>
        <w:spacing w:before="100" w:beforeAutospacing="1" w:after="100" w:afterAutospacing="1" w:line="240" w:lineRule="auto"/>
        <w:rPr>
          <w:rFonts w:ascii="Helvetica" w:eastAsia="Times New Roman" w:hAnsi="Helvetica" w:cs="Helvetica"/>
          <w:color w:val="000000"/>
          <w:kern w:val="0"/>
          <w:sz w:val="18"/>
          <w:szCs w:val="18"/>
          <w:lang w:eastAsia="ru-RU"/>
          <w14:ligatures w14:val="none"/>
        </w:rPr>
      </w:pPr>
      <w:r w:rsidRPr="00652238">
        <w:rPr>
          <w:rFonts w:ascii="Helvetica" w:eastAsia="Times New Roman" w:hAnsi="Helvetica" w:cs="Helvetica"/>
          <w:b/>
          <w:bCs/>
          <w:color w:val="000000"/>
          <w:kern w:val="0"/>
          <w:sz w:val="18"/>
          <w:szCs w:val="18"/>
          <w:lang w:eastAsia="ru-RU"/>
          <w14:ligatures w14:val="none"/>
        </w:rPr>
        <w:t>Гараж - </w:t>
      </w:r>
      <w:r w:rsidRPr="00652238">
        <w:rPr>
          <w:rFonts w:ascii="Helvetica" w:eastAsia="Times New Roman" w:hAnsi="Helvetica" w:cs="Helvetica"/>
          <w:color w:val="000000"/>
          <w:kern w:val="0"/>
          <w:sz w:val="18"/>
          <w:szCs w:val="18"/>
          <w:lang w:eastAsia="ru-RU"/>
          <w14:ligatures w14:val="none"/>
        </w:rPr>
        <w:t>Паспорт на гараж, Справка, выданная Гаражно-строительным кооперативом.</w:t>
      </w:r>
    </w:p>
    <w:p w14:paraId="63A32890" w14:textId="4F5D59EE" w:rsidR="00DE068B" w:rsidRDefault="00652238" w:rsidP="00652238">
      <w:r w:rsidRPr="00652238">
        <w:rPr>
          <w:rFonts w:ascii="Helvetica" w:eastAsia="Times New Roman" w:hAnsi="Helvetica" w:cs="Helvetica"/>
          <w:color w:val="000000"/>
          <w:kern w:val="0"/>
          <w:sz w:val="18"/>
          <w:szCs w:val="18"/>
          <w:shd w:val="clear" w:color="auto" w:fill="FFFFFF"/>
          <w:lang w:eastAsia="ru-RU"/>
          <w14:ligatures w14:val="none"/>
        </w:rPr>
        <w:t>В случае необходимости, нотариус подготовит и выдаст на руки запросы для предъявления в различные учреждения и организации.</w:t>
      </w:r>
    </w:p>
    <w:sectPr w:rsidR="00DE0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776A"/>
    <w:multiLevelType w:val="multilevel"/>
    <w:tmpl w:val="0002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C2F06"/>
    <w:multiLevelType w:val="multilevel"/>
    <w:tmpl w:val="565A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025990">
    <w:abstractNumId w:val="0"/>
  </w:num>
  <w:num w:numId="2" w16cid:durableId="197351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FF"/>
    <w:rsid w:val="001E4722"/>
    <w:rsid w:val="00581FFF"/>
    <w:rsid w:val="00652238"/>
    <w:rsid w:val="00D54591"/>
    <w:rsid w:val="00DE0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B8607-DA30-408C-AEEE-9ECA165D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223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652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7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Малышев</dc:creator>
  <cp:keywords/>
  <dc:description/>
  <cp:lastModifiedBy>Виталий Малышев</cp:lastModifiedBy>
  <cp:revision>2</cp:revision>
  <dcterms:created xsi:type="dcterms:W3CDTF">2024-05-29T09:23:00Z</dcterms:created>
  <dcterms:modified xsi:type="dcterms:W3CDTF">2024-05-29T09:23:00Z</dcterms:modified>
</cp:coreProperties>
</file>